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5FA" w:rsidRPr="00E947E7" w:rsidRDefault="00E947E7" w:rsidP="00E947E7">
      <w:pPr>
        <w:jc w:val="center"/>
        <w:rPr>
          <w:b/>
          <w:lang w:val="en-CA"/>
        </w:rPr>
      </w:pPr>
      <w:bookmarkStart w:id="0" w:name="_GoBack"/>
      <w:bookmarkEnd w:id="0"/>
      <w:r w:rsidRPr="00E947E7">
        <w:rPr>
          <w:b/>
          <w:lang w:val="en-CA"/>
        </w:rPr>
        <w:t>Chapter 4. Reporting Financial Performance</w:t>
      </w:r>
    </w:p>
    <w:p w:rsidR="00E947E7" w:rsidRDefault="00E947E7" w:rsidP="00E947E7">
      <w:pPr>
        <w:jc w:val="center"/>
        <w:rPr>
          <w:lang w:val="en-CA"/>
        </w:rPr>
      </w:pPr>
      <w:r>
        <w:rPr>
          <w:lang w:val="en-CA"/>
        </w:rPr>
        <w:t>Part 2. Statement of Changes in Equity</w:t>
      </w:r>
    </w:p>
    <w:p w:rsidR="00E947E7" w:rsidRDefault="00E947E7" w:rsidP="00E947E7">
      <w:pPr>
        <w:jc w:val="center"/>
        <w:rPr>
          <w:lang w:val="en-CA"/>
        </w:rPr>
      </w:pPr>
    </w:p>
    <w:p w:rsidR="00E947E7" w:rsidRDefault="00E451EC" w:rsidP="00E451EC">
      <w:pPr>
        <w:rPr>
          <w:lang w:val="en-CA"/>
        </w:rPr>
      </w:pPr>
      <w:r>
        <w:rPr>
          <w:lang w:val="en-CA"/>
        </w:rPr>
        <w:t>Shows how the wealth of the firm’s shareholders evolved during the year.</w:t>
      </w:r>
    </w:p>
    <w:p w:rsidR="00E451EC" w:rsidRDefault="00E451EC" w:rsidP="00E451EC">
      <w:pPr>
        <w:rPr>
          <w:lang w:val="en-CA"/>
        </w:rPr>
      </w:pPr>
      <w:r>
        <w:rPr>
          <w:lang w:val="en-CA"/>
        </w:rPr>
        <w:t>What triggers changes in equity from one year to the other?</w:t>
      </w:r>
    </w:p>
    <w:p w:rsidR="00E451EC" w:rsidRDefault="00E451EC" w:rsidP="00E451EC">
      <w:pPr>
        <w:rPr>
          <w:lang w:val="en-CA"/>
        </w:rPr>
      </w:pPr>
      <w:r>
        <w:rPr>
          <w:lang w:val="en-CA"/>
        </w:rPr>
        <w:t xml:space="preserve">- </w:t>
      </w:r>
      <w:proofErr w:type="gramStart"/>
      <w:r>
        <w:rPr>
          <w:lang w:val="en-CA"/>
        </w:rPr>
        <w:t>profit</w:t>
      </w:r>
      <w:proofErr w:type="gramEnd"/>
      <w:r>
        <w:rPr>
          <w:lang w:val="en-CA"/>
        </w:rPr>
        <w:t xml:space="preserve"> or loss</w:t>
      </w:r>
    </w:p>
    <w:p w:rsidR="00E451EC" w:rsidRDefault="00E451EC" w:rsidP="00E451EC">
      <w:pPr>
        <w:rPr>
          <w:lang w:val="en-CA"/>
        </w:rPr>
      </w:pPr>
      <w:r>
        <w:rPr>
          <w:lang w:val="en-CA"/>
        </w:rPr>
        <w:t>- OCI</w:t>
      </w:r>
    </w:p>
    <w:p w:rsidR="00E451EC" w:rsidRDefault="00E451EC" w:rsidP="00E451EC">
      <w:pPr>
        <w:rPr>
          <w:lang w:val="en-CA"/>
        </w:rPr>
      </w:pPr>
      <w:r>
        <w:rPr>
          <w:lang w:val="en-CA"/>
        </w:rPr>
        <w:t xml:space="preserve">- </w:t>
      </w:r>
      <w:proofErr w:type="gramStart"/>
      <w:r>
        <w:rPr>
          <w:lang w:val="en-CA"/>
        </w:rPr>
        <w:t>transactions</w:t>
      </w:r>
      <w:proofErr w:type="gramEnd"/>
      <w:r>
        <w:rPr>
          <w:lang w:val="en-CA"/>
        </w:rPr>
        <w:t xml:space="preserve"> with owners</w:t>
      </w:r>
    </w:p>
    <w:p w:rsidR="00E451EC" w:rsidRDefault="00E451EC" w:rsidP="00E451EC">
      <w:pPr>
        <w:rPr>
          <w:lang w:val="en-CA"/>
        </w:rPr>
      </w:pPr>
      <w:r>
        <w:rPr>
          <w:lang w:val="en-CA"/>
        </w:rPr>
        <w:tab/>
        <w:t xml:space="preserve">- </w:t>
      </w:r>
      <w:proofErr w:type="gramStart"/>
      <w:r>
        <w:rPr>
          <w:lang w:val="en-CA"/>
        </w:rPr>
        <w:t>distributions</w:t>
      </w:r>
      <w:proofErr w:type="gramEnd"/>
      <w:r>
        <w:rPr>
          <w:lang w:val="en-CA"/>
        </w:rPr>
        <w:t>, e.g., dividends</w:t>
      </w:r>
    </w:p>
    <w:p w:rsidR="00E451EC" w:rsidRDefault="00E451EC" w:rsidP="00E451EC">
      <w:pPr>
        <w:rPr>
          <w:lang w:val="en-CA"/>
        </w:rPr>
      </w:pPr>
      <w:r>
        <w:rPr>
          <w:lang w:val="en-CA"/>
        </w:rPr>
        <w:tab/>
        <w:t xml:space="preserve">- </w:t>
      </w:r>
      <w:proofErr w:type="gramStart"/>
      <w:r>
        <w:rPr>
          <w:lang w:val="en-CA"/>
        </w:rPr>
        <w:t>contributions</w:t>
      </w:r>
      <w:proofErr w:type="gramEnd"/>
      <w:r>
        <w:rPr>
          <w:lang w:val="en-CA"/>
        </w:rPr>
        <w:t>, e.g., increases in social capital</w:t>
      </w:r>
    </w:p>
    <w:p w:rsidR="00E451EC" w:rsidRDefault="00E451EC" w:rsidP="00E451EC">
      <w:pPr>
        <w:rPr>
          <w:lang w:val="en-CA"/>
        </w:rPr>
      </w:pPr>
      <w:r>
        <w:rPr>
          <w:lang w:val="en-CA"/>
        </w:rPr>
        <w:tab/>
        <w:t xml:space="preserve">- </w:t>
      </w:r>
      <w:proofErr w:type="gramStart"/>
      <w:r>
        <w:rPr>
          <w:lang w:val="en-CA"/>
        </w:rPr>
        <w:t>changes</w:t>
      </w:r>
      <w:proofErr w:type="gramEnd"/>
      <w:r>
        <w:rPr>
          <w:lang w:val="en-CA"/>
        </w:rPr>
        <w:t xml:space="preserve"> in ownership interests in subsidiaries</w:t>
      </w:r>
    </w:p>
    <w:p w:rsidR="00E451EC" w:rsidRDefault="00E451EC" w:rsidP="00E451EC">
      <w:pPr>
        <w:rPr>
          <w:lang w:val="en-CA"/>
        </w:rPr>
      </w:pPr>
      <w:r>
        <w:rPr>
          <w:lang w:val="en-CA"/>
        </w:rPr>
        <w:t>Restatements/corrections/changes that relate to prior years affect Retained Earnings directly.</w:t>
      </w:r>
    </w:p>
    <w:p w:rsidR="007423FA" w:rsidRDefault="007423FA" w:rsidP="00E451EC">
      <w:pPr>
        <w:rPr>
          <w:lang w:val="en-CA"/>
        </w:rPr>
      </w:pPr>
      <w:r>
        <w:rPr>
          <w:lang w:val="en-CA"/>
        </w:rPr>
        <w:t>Disclosure and presentation based on IAS 1 par. 106-110</w:t>
      </w:r>
    </w:p>
    <w:p w:rsidR="007423FA" w:rsidRDefault="007423FA" w:rsidP="007423FA">
      <w:pPr>
        <w:pStyle w:val="ListParagraph"/>
        <w:numPr>
          <w:ilvl w:val="0"/>
          <w:numId w:val="1"/>
        </w:numPr>
        <w:rPr>
          <w:lang w:val="en-CA"/>
        </w:rPr>
      </w:pPr>
      <w:r>
        <w:rPr>
          <w:lang w:val="en-CA"/>
        </w:rPr>
        <w:t>Usually in columnar form, with columns for each account and for total shareholders’ equity</w:t>
      </w:r>
    </w:p>
    <w:p w:rsidR="007423FA" w:rsidRDefault="007423FA" w:rsidP="007423FA">
      <w:pPr>
        <w:pStyle w:val="ListParagraph"/>
        <w:numPr>
          <w:ilvl w:val="0"/>
          <w:numId w:val="1"/>
        </w:numPr>
        <w:rPr>
          <w:lang w:val="en-CA"/>
        </w:rPr>
      </w:pPr>
      <w:r>
        <w:rPr>
          <w:lang w:val="en-CA"/>
        </w:rPr>
        <w:t>TCI for the period, showing separately the amounts attributable to owners of the parent and to non-controlling interests (i.e., minority interest)</w:t>
      </w:r>
    </w:p>
    <w:p w:rsidR="007423FA" w:rsidRDefault="007423FA" w:rsidP="007423FA">
      <w:pPr>
        <w:pStyle w:val="ListParagraph"/>
        <w:numPr>
          <w:ilvl w:val="0"/>
          <w:numId w:val="1"/>
        </w:numPr>
        <w:rPr>
          <w:lang w:val="en-CA"/>
        </w:rPr>
      </w:pPr>
      <w:r>
        <w:rPr>
          <w:lang w:val="en-CA"/>
        </w:rPr>
        <w:t>Effects of restatements and/or retrospective application</w:t>
      </w:r>
    </w:p>
    <w:p w:rsidR="007423FA" w:rsidRDefault="007423FA" w:rsidP="007423FA">
      <w:pPr>
        <w:pStyle w:val="ListParagraph"/>
        <w:numPr>
          <w:ilvl w:val="0"/>
          <w:numId w:val="1"/>
        </w:numPr>
        <w:rPr>
          <w:lang w:val="en-CA"/>
        </w:rPr>
      </w:pPr>
      <w:r>
        <w:rPr>
          <w:lang w:val="en-CA"/>
        </w:rPr>
        <w:t>For each component of equity, a reconciliation between the carrying amount at the beginning and the end of the period, separately disclosing changes resulting from profit or loss, OCI, and transactions with owners</w:t>
      </w:r>
    </w:p>
    <w:p w:rsidR="007423FA" w:rsidRDefault="007423FA" w:rsidP="007423FA">
      <w:pPr>
        <w:pStyle w:val="ListParagraph"/>
        <w:numPr>
          <w:ilvl w:val="0"/>
          <w:numId w:val="1"/>
        </w:numPr>
        <w:rPr>
          <w:lang w:val="en-CA"/>
        </w:rPr>
      </w:pPr>
      <w:r>
        <w:rPr>
          <w:lang w:val="en-CA"/>
        </w:rPr>
        <w:t>Dividends recognized and dividends per share</w:t>
      </w:r>
    </w:p>
    <w:p w:rsidR="00882689" w:rsidRDefault="00882689">
      <w:pPr>
        <w:rPr>
          <w:lang w:val="en-CA"/>
        </w:rPr>
      </w:pPr>
      <w:r>
        <w:rPr>
          <w:lang w:val="en-CA"/>
        </w:rPr>
        <w:br w:type="page"/>
      </w:r>
    </w:p>
    <w:p w:rsidR="00870463" w:rsidRDefault="00870463" w:rsidP="00882689">
      <w:pPr>
        <w:rPr>
          <w:b/>
          <w:lang w:val="en-CA"/>
        </w:rPr>
      </w:pPr>
      <w:r w:rsidRPr="00870463">
        <w:rPr>
          <w:b/>
          <w:noProof/>
        </w:rPr>
        <w:lastRenderedPageBreak/>
        <w:drawing>
          <wp:inline distT="0" distB="0" distL="0" distR="0" wp14:anchorId="6FEEFB0B" wp14:editId="3A97EEC5">
            <wp:extent cx="5943600" cy="3329305"/>
            <wp:effectExtent l="0" t="0" r="0" b="4445"/>
            <wp:docPr id="102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29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870463" w:rsidRDefault="00870463" w:rsidP="00882689">
      <w:pPr>
        <w:rPr>
          <w:b/>
          <w:lang w:val="en-CA"/>
        </w:rPr>
      </w:pPr>
    </w:p>
    <w:p w:rsidR="000225C8" w:rsidRDefault="00882689" w:rsidP="000225C8">
      <w:pPr>
        <w:spacing w:after="0"/>
        <w:jc w:val="center"/>
        <w:rPr>
          <w:b/>
          <w:lang w:val="en-CA"/>
        </w:rPr>
      </w:pPr>
      <w:r w:rsidRPr="00882689">
        <w:rPr>
          <w:b/>
          <w:lang w:val="en-CA"/>
        </w:rPr>
        <w:t>L’Oreal</w:t>
      </w:r>
      <w:r w:rsidR="000225C8">
        <w:rPr>
          <w:b/>
          <w:lang w:val="en-CA"/>
        </w:rPr>
        <w:t xml:space="preserve"> Group</w:t>
      </w:r>
    </w:p>
    <w:p w:rsidR="000225C8" w:rsidRDefault="00882689" w:rsidP="000225C8">
      <w:pPr>
        <w:spacing w:after="0"/>
        <w:jc w:val="center"/>
        <w:rPr>
          <w:b/>
          <w:lang w:val="en-CA"/>
        </w:rPr>
      </w:pPr>
      <w:r>
        <w:rPr>
          <w:b/>
          <w:lang w:val="en-CA"/>
        </w:rPr>
        <w:t>Consolidated s</w:t>
      </w:r>
      <w:r w:rsidRPr="00882689">
        <w:rPr>
          <w:b/>
          <w:lang w:val="en-CA"/>
        </w:rPr>
        <w:t>tatement of changes in equity</w:t>
      </w:r>
    </w:p>
    <w:p w:rsidR="00882689" w:rsidRPr="00882689" w:rsidRDefault="000225C8" w:rsidP="000225C8">
      <w:pPr>
        <w:spacing w:after="0"/>
        <w:jc w:val="center"/>
        <w:rPr>
          <w:b/>
          <w:lang w:val="en-CA"/>
        </w:rPr>
      </w:pPr>
      <w:r>
        <w:rPr>
          <w:b/>
          <w:lang w:val="en-CA"/>
        </w:rPr>
        <w:t>F</w:t>
      </w:r>
      <w:r w:rsidR="00A83AEC">
        <w:rPr>
          <w:b/>
          <w:lang w:val="en-CA"/>
        </w:rPr>
        <w:t>or the year ended</w:t>
      </w:r>
      <w:r w:rsidR="0043226A">
        <w:rPr>
          <w:b/>
          <w:lang w:val="en-CA"/>
        </w:rPr>
        <w:t xml:space="preserve"> December 31,</w:t>
      </w:r>
      <w:r w:rsidR="00882689" w:rsidRPr="00882689">
        <w:rPr>
          <w:b/>
          <w:lang w:val="en-CA"/>
        </w:rPr>
        <w:t xml:space="preserve"> 201</w:t>
      </w:r>
      <w:r w:rsidR="0043226A">
        <w:rPr>
          <w:b/>
          <w:lang w:val="en-CA"/>
        </w:rPr>
        <w:t>0</w:t>
      </w:r>
    </w:p>
    <w:p w:rsidR="00882689" w:rsidRDefault="00882689" w:rsidP="00882689">
      <w:pPr>
        <w:rPr>
          <w:lang w:val="en-CA"/>
        </w:rPr>
      </w:pPr>
      <w:r>
        <w:rPr>
          <w:noProof/>
        </w:rPr>
        <w:drawing>
          <wp:inline distT="0" distB="0" distL="0" distR="0" wp14:anchorId="2032B95C" wp14:editId="256B6330">
            <wp:extent cx="5943600" cy="356806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568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6750" w:rsidRDefault="00AC6750">
      <w:pPr>
        <w:rPr>
          <w:lang w:val="en-CA"/>
        </w:rPr>
      </w:pPr>
      <w:r>
        <w:rPr>
          <w:lang w:val="en-CA"/>
        </w:rPr>
        <w:br w:type="page"/>
      </w:r>
    </w:p>
    <w:p w:rsidR="0044279B" w:rsidRPr="00AC6750" w:rsidRDefault="00AC6750" w:rsidP="00882689">
      <w:pPr>
        <w:rPr>
          <w:b/>
          <w:lang w:val="en-CA"/>
        </w:rPr>
      </w:pPr>
      <w:r w:rsidRPr="00AC6750">
        <w:rPr>
          <w:b/>
          <w:lang w:val="en-CA"/>
        </w:rPr>
        <w:lastRenderedPageBreak/>
        <w:t>P4-15 pg. 211</w:t>
      </w:r>
    </w:p>
    <w:p w:rsidR="00AC6750" w:rsidRDefault="00AC6750">
      <w:pPr>
        <w:rPr>
          <w:lang w:val="en-CA"/>
        </w:rPr>
      </w:pPr>
      <w:r>
        <w:rPr>
          <w:lang w:val="en-CA"/>
        </w:rPr>
        <w:t>The equity accounts of Feeling Alright Vitamin Limited as at January 1, 2014, were as follows: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5"/>
        <w:gridCol w:w="1560"/>
      </w:tblGrid>
      <w:tr w:rsidR="00AC6750" w:rsidRPr="00AC6750" w:rsidTr="00AC6750">
        <w:trPr>
          <w:jc w:val="center"/>
        </w:trPr>
        <w:tc>
          <w:tcPr>
            <w:tcW w:w="5665" w:type="dxa"/>
          </w:tcPr>
          <w:p w:rsidR="00AC6750" w:rsidRPr="00AC6750" w:rsidRDefault="00AC6750" w:rsidP="009C0B29">
            <w:pPr>
              <w:rPr>
                <w:lang w:val="en-CA"/>
              </w:rPr>
            </w:pPr>
            <w:r w:rsidRPr="00AC6750">
              <w:rPr>
                <w:lang w:val="en-CA"/>
              </w:rPr>
              <w:t>Retained earnings, January 1, 2014</w:t>
            </w:r>
          </w:p>
        </w:tc>
        <w:tc>
          <w:tcPr>
            <w:tcW w:w="1560" w:type="dxa"/>
          </w:tcPr>
          <w:p w:rsidR="00AC6750" w:rsidRPr="00AC6750" w:rsidRDefault="00AC6750" w:rsidP="00AC6750">
            <w:pPr>
              <w:jc w:val="right"/>
              <w:rPr>
                <w:lang w:val="en-CA"/>
              </w:rPr>
            </w:pPr>
            <w:r w:rsidRPr="00AC6750">
              <w:rPr>
                <w:lang w:val="en-CA"/>
              </w:rPr>
              <w:t>$257,600</w:t>
            </w:r>
          </w:p>
        </w:tc>
      </w:tr>
      <w:tr w:rsidR="00AC6750" w:rsidTr="00AC6750">
        <w:trPr>
          <w:jc w:val="center"/>
        </w:trPr>
        <w:tc>
          <w:tcPr>
            <w:tcW w:w="5665" w:type="dxa"/>
          </w:tcPr>
          <w:p w:rsidR="00AC6750" w:rsidRPr="00AC6750" w:rsidRDefault="00AC6750" w:rsidP="009C0B29">
            <w:pPr>
              <w:rPr>
                <w:lang w:val="en-CA"/>
              </w:rPr>
            </w:pPr>
            <w:r w:rsidRPr="00AC6750">
              <w:rPr>
                <w:lang w:val="en-CA"/>
              </w:rPr>
              <w:t>Common shares</w:t>
            </w:r>
          </w:p>
        </w:tc>
        <w:tc>
          <w:tcPr>
            <w:tcW w:w="1560" w:type="dxa"/>
          </w:tcPr>
          <w:p w:rsidR="00AC6750" w:rsidRDefault="00AC6750" w:rsidP="00AC6750">
            <w:pPr>
              <w:jc w:val="right"/>
              <w:rPr>
                <w:lang w:val="en-CA"/>
              </w:rPr>
            </w:pPr>
            <w:r w:rsidRPr="00AC6750">
              <w:rPr>
                <w:lang w:val="en-CA"/>
              </w:rPr>
              <w:t>6</w:t>
            </w:r>
            <w:r>
              <w:rPr>
                <w:lang w:val="en-CA"/>
              </w:rPr>
              <w:t>00,000</w:t>
            </w:r>
          </w:p>
        </w:tc>
      </w:tr>
      <w:tr w:rsidR="00AC6750" w:rsidTr="00AC6750">
        <w:trPr>
          <w:jc w:val="center"/>
        </w:trPr>
        <w:tc>
          <w:tcPr>
            <w:tcW w:w="5665" w:type="dxa"/>
          </w:tcPr>
          <w:p w:rsidR="00AC6750" w:rsidRPr="00AC6750" w:rsidRDefault="00AC6750" w:rsidP="009C0B29">
            <w:pPr>
              <w:rPr>
                <w:lang w:val="en-CA"/>
              </w:rPr>
            </w:pPr>
            <w:r>
              <w:rPr>
                <w:lang w:val="en-CA"/>
              </w:rPr>
              <w:t>Preferred shares</w:t>
            </w:r>
          </w:p>
        </w:tc>
        <w:tc>
          <w:tcPr>
            <w:tcW w:w="1560" w:type="dxa"/>
          </w:tcPr>
          <w:p w:rsidR="00AC6750" w:rsidRPr="00AC6750" w:rsidRDefault="00AC6750" w:rsidP="00AC6750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250,000</w:t>
            </w:r>
          </w:p>
        </w:tc>
      </w:tr>
      <w:tr w:rsidR="00AC6750" w:rsidTr="00AC6750">
        <w:trPr>
          <w:jc w:val="center"/>
        </w:trPr>
        <w:tc>
          <w:tcPr>
            <w:tcW w:w="5665" w:type="dxa"/>
          </w:tcPr>
          <w:p w:rsidR="00AC6750" w:rsidRPr="00AC6750" w:rsidRDefault="00AC6750" w:rsidP="009C0B29">
            <w:pPr>
              <w:rPr>
                <w:lang w:val="en-CA"/>
              </w:rPr>
            </w:pPr>
            <w:r>
              <w:rPr>
                <w:lang w:val="en-CA"/>
              </w:rPr>
              <w:t>Contributed surplus</w:t>
            </w:r>
          </w:p>
        </w:tc>
        <w:tc>
          <w:tcPr>
            <w:tcW w:w="1560" w:type="dxa"/>
          </w:tcPr>
          <w:p w:rsidR="00AC6750" w:rsidRPr="00AC6750" w:rsidRDefault="00AC6750" w:rsidP="00AC6750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300,000</w:t>
            </w:r>
          </w:p>
        </w:tc>
      </w:tr>
      <w:tr w:rsidR="00AC6750" w:rsidTr="00AC6750">
        <w:trPr>
          <w:jc w:val="center"/>
        </w:trPr>
        <w:tc>
          <w:tcPr>
            <w:tcW w:w="5665" w:type="dxa"/>
          </w:tcPr>
          <w:p w:rsidR="00AC6750" w:rsidRPr="00AC6750" w:rsidRDefault="00AC6750" w:rsidP="009C0B29">
            <w:pPr>
              <w:rPr>
                <w:lang w:val="en-CA"/>
              </w:rPr>
            </w:pPr>
            <w:r>
              <w:rPr>
                <w:lang w:val="en-CA"/>
              </w:rPr>
              <w:t>Accumulated other comprehensive income</w:t>
            </w:r>
          </w:p>
        </w:tc>
        <w:tc>
          <w:tcPr>
            <w:tcW w:w="1560" w:type="dxa"/>
          </w:tcPr>
          <w:p w:rsidR="00AC6750" w:rsidRPr="00AC6750" w:rsidRDefault="00AC6750" w:rsidP="00AC6750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525,000</w:t>
            </w:r>
          </w:p>
        </w:tc>
      </w:tr>
    </w:tbl>
    <w:p w:rsidR="00AC6750" w:rsidRDefault="00AC6750">
      <w:pPr>
        <w:rPr>
          <w:lang w:val="en-CA"/>
        </w:rPr>
      </w:pPr>
    </w:p>
    <w:p w:rsidR="00AC6750" w:rsidRDefault="00AC6750">
      <w:pPr>
        <w:rPr>
          <w:lang w:val="en-CA"/>
        </w:rPr>
      </w:pPr>
      <w:r>
        <w:rPr>
          <w:lang w:val="en-CA"/>
        </w:rPr>
        <w:t>During 2014, the following transactions took place: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07"/>
        <w:gridCol w:w="1276"/>
      </w:tblGrid>
      <w:tr w:rsidR="00AC6750" w:rsidTr="00913875">
        <w:trPr>
          <w:jc w:val="center"/>
        </w:trPr>
        <w:tc>
          <w:tcPr>
            <w:tcW w:w="5807" w:type="dxa"/>
          </w:tcPr>
          <w:p w:rsidR="00AC6750" w:rsidRDefault="00AC6750">
            <w:pPr>
              <w:rPr>
                <w:lang w:val="en-CA"/>
              </w:rPr>
            </w:pPr>
            <w:r>
              <w:rPr>
                <w:lang w:val="en-CA"/>
              </w:rPr>
              <w:t>Adjustment to correct error in prior years (gain net of tax)</w:t>
            </w:r>
          </w:p>
        </w:tc>
        <w:tc>
          <w:tcPr>
            <w:tcW w:w="1276" w:type="dxa"/>
          </w:tcPr>
          <w:p w:rsidR="00AC6750" w:rsidRDefault="00AC6750" w:rsidP="00913875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$48,000</w:t>
            </w:r>
          </w:p>
        </w:tc>
      </w:tr>
      <w:tr w:rsidR="00AC6750" w:rsidTr="00913875">
        <w:trPr>
          <w:jc w:val="center"/>
        </w:trPr>
        <w:tc>
          <w:tcPr>
            <w:tcW w:w="5807" w:type="dxa"/>
          </w:tcPr>
          <w:p w:rsidR="00AC6750" w:rsidRDefault="00AC6750">
            <w:pPr>
              <w:rPr>
                <w:lang w:val="en-CA"/>
              </w:rPr>
            </w:pPr>
            <w:r>
              <w:rPr>
                <w:lang w:val="en-CA"/>
              </w:rPr>
              <w:t>Unrealized gains on FV-OCI investments (net of tax)</w:t>
            </w:r>
          </w:p>
        </w:tc>
        <w:tc>
          <w:tcPr>
            <w:tcW w:w="1276" w:type="dxa"/>
          </w:tcPr>
          <w:p w:rsidR="00AC6750" w:rsidRDefault="00AC6750" w:rsidP="00913875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82,000</w:t>
            </w:r>
          </w:p>
        </w:tc>
      </w:tr>
      <w:tr w:rsidR="00AC6750" w:rsidTr="00913875">
        <w:trPr>
          <w:jc w:val="center"/>
        </w:trPr>
        <w:tc>
          <w:tcPr>
            <w:tcW w:w="5807" w:type="dxa"/>
          </w:tcPr>
          <w:p w:rsidR="00AC6750" w:rsidRDefault="00AC6750">
            <w:pPr>
              <w:rPr>
                <w:lang w:val="en-CA"/>
              </w:rPr>
            </w:pPr>
            <w:r>
              <w:rPr>
                <w:lang w:val="en-CA"/>
              </w:rPr>
              <w:t>Dividends</w:t>
            </w:r>
          </w:p>
        </w:tc>
        <w:tc>
          <w:tcPr>
            <w:tcW w:w="1276" w:type="dxa"/>
          </w:tcPr>
          <w:p w:rsidR="00AC6750" w:rsidRDefault="00AC6750" w:rsidP="00913875">
            <w:pPr>
              <w:jc w:val="right"/>
              <w:rPr>
                <w:lang w:val="en-CA"/>
              </w:rPr>
            </w:pPr>
          </w:p>
        </w:tc>
      </w:tr>
      <w:tr w:rsidR="00AC6750" w:rsidTr="00913875">
        <w:trPr>
          <w:jc w:val="center"/>
        </w:trPr>
        <w:tc>
          <w:tcPr>
            <w:tcW w:w="5807" w:type="dxa"/>
          </w:tcPr>
          <w:p w:rsidR="00AC6750" w:rsidRDefault="00AC6750">
            <w:pPr>
              <w:rPr>
                <w:lang w:val="en-CA"/>
              </w:rPr>
            </w:pPr>
            <w:r>
              <w:rPr>
                <w:lang w:val="en-CA"/>
              </w:rPr>
              <w:t xml:space="preserve">    Common shares</w:t>
            </w:r>
          </w:p>
        </w:tc>
        <w:tc>
          <w:tcPr>
            <w:tcW w:w="1276" w:type="dxa"/>
          </w:tcPr>
          <w:p w:rsidR="00AC6750" w:rsidRDefault="00AC6750" w:rsidP="00913875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120,000</w:t>
            </w:r>
          </w:p>
        </w:tc>
      </w:tr>
      <w:tr w:rsidR="00AC6750" w:rsidTr="00913875">
        <w:trPr>
          <w:jc w:val="center"/>
        </w:trPr>
        <w:tc>
          <w:tcPr>
            <w:tcW w:w="5807" w:type="dxa"/>
          </w:tcPr>
          <w:p w:rsidR="00AC6750" w:rsidRDefault="00AC6750">
            <w:pPr>
              <w:rPr>
                <w:lang w:val="en-CA"/>
              </w:rPr>
            </w:pPr>
            <w:r>
              <w:rPr>
                <w:lang w:val="en-CA"/>
              </w:rPr>
              <w:t xml:space="preserve">    Preferred shares</w:t>
            </w:r>
          </w:p>
        </w:tc>
        <w:tc>
          <w:tcPr>
            <w:tcW w:w="1276" w:type="dxa"/>
          </w:tcPr>
          <w:p w:rsidR="00AC6750" w:rsidRDefault="00AC6750" w:rsidP="00913875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62,000</w:t>
            </w:r>
          </w:p>
        </w:tc>
      </w:tr>
      <w:tr w:rsidR="00AC6750" w:rsidTr="00913875">
        <w:trPr>
          <w:jc w:val="center"/>
        </w:trPr>
        <w:tc>
          <w:tcPr>
            <w:tcW w:w="5807" w:type="dxa"/>
          </w:tcPr>
          <w:p w:rsidR="00AC6750" w:rsidRDefault="00AC6750">
            <w:pPr>
              <w:rPr>
                <w:lang w:val="en-CA"/>
              </w:rPr>
            </w:pPr>
            <w:r>
              <w:rPr>
                <w:lang w:val="en-CA"/>
              </w:rPr>
              <w:t>Issue of equity</w:t>
            </w:r>
          </w:p>
        </w:tc>
        <w:tc>
          <w:tcPr>
            <w:tcW w:w="1276" w:type="dxa"/>
          </w:tcPr>
          <w:p w:rsidR="00AC6750" w:rsidRDefault="00AC6750" w:rsidP="00913875">
            <w:pPr>
              <w:jc w:val="right"/>
              <w:rPr>
                <w:lang w:val="en-CA"/>
              </w:rPr>
            </w:pPr>
          </w:p>
        </w:tc>
      </w:tr>
      <w:tr w:rsidR="00AC6750" w:rsidTr="00913875">
        <w:trPr>
          <w:jc w:val="center"/>
        </w:trPr>
        <w:tc>
          <w:tcPr>
            <w:tcW w:w="5807" w:type="dxa"/>
          </w:tcPr>
          <w:p w:rsidR="00AC6750" w:rsidRDefault="00913875">
            <w:pPr>
              <w:rPr>
                <w:lang w:val="en-CA"/>
              </w:rPr>
            </w:pPr>
            <w:r>
              <w:rPr>
                <w:lang w:val="en-CA"/>
              </w:rPr>
              <w:t xml:space="preserve">    Common shares</w:t>
            </w:r>
          </w:p>
        </w:tc>
        <w:tc>
          <w:tcPr>
            <w:tcW w:w="1276" w:type="dxa"/>
          </w:tcPr>
          <w:p w:rsidR="00AC6750" w:rsidRDefault="00913875" w:rsidP="00913875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300,000</w:t>
            </w:r>
          </w:p>
        </w:tc>
      </w:tr>
      <w:tr w:rsidR="00AC6750" w:rsidTr="00913875">
        <w:trPr>
          <w:jc w:val="center"/>
        </w:trPr>
        <w:tc>
          <w:tcPr>
            <w:tcW w:w="5807" w:type="dxa"/>
          </w:tcPr>
          <w:p w:rsidR="00AC6750" w:rsidRDefault="00913875">
            <w:pPr>
              <w:rPr>
                <w:lang w:val="en-CA"/>
              </w:rPr>
            </w:pPr>
            <w:r>
              <w:rPr>
                <w:lang w:val="en-CA"/>
              </w:rPr>
              <w:t xml:space="preserve">    Preferred shares</w:t>
            </w:r>
          </w:p>
        </w:tc>
        <w:tc>
          <w:tcPr>
            <w:tcW w:w="1276" w:type="dxa"/>
          </w:tcPr>
          <w:p w:rsidR="00AC6750" w:rsidRDefault="00913875" w:rsidP="00913875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5,000</w:t>
            </w:r>
          </w:p>
        </w:tc>
      </w:tr>
      <w:tr w:rsidR="00AC6750" w:rsidTr="00913875">
        <w:trPr>
          <w:jc w:val="center"/>
        </w:trPr>
        <w:tc>
          <w:tcPr>
            <w:tcW w:w="5807" w:type="dxa"/>
          </w:tcPr>
          <w:p w:rsidR="00AC6750" w:rsidRDefault="00913875">
            <w:pPr>
              <w:rPr>
                <w:lang w:val="en-CA"/>
              </w:rPr>
            </w:pPr>
            <w:r>
              <w:rPr>
                <w:lang w:val="en-CA"/>
              </w:rPr>
              <w:t>Net income</w:t>
            </w:r>
          </w:p>
        </w:tc>
        <w:tc>
          <w:tcPr>
            <w:tcW w:w="1276" w:type="dxa"/>
          </w:tcPr>
          <w:p w:rsidR="00AC6750" w:rsidRDefault="00913875" w:rsidP="00913875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325,000</w:t>
            </w:r>
          </w:p>
        </w:tc>
      </w:tr>
    </w:tbl>
    <w:p w:rsidR="00F849BB" w:rsidRDefault="00F849BB">
      <w:pPr>
        <w:rPr>
          <w:lang w:val="en-CA"/>
        </w:rPr>
      </w:pPr>
    </w:p>
    <w:p w:rsidR="008430B2" w:rsidRDefault="00F849BB" w:rsidP="00F849BB">
      <w:pPr>
        <w:jc w:val="both"/>
        <w:rPr>
          <w:lang w:val="en-CA"/>
        </w:rPr>
      </w:pPr>
      <w:r>
        <w:rPr>
          <w:lang w:val="en-CA"/>
        </w:rPr>
        <w:t>Prepare a statement of changes in equity for the year ended December 31, 2014. The company follows IFRS and accounts for its investments in accordance with IAS 39.</w:t>
      </w:r>
    </w:p>
    <w:p w:rsidR="008430B2" w:rsidRDefault="008430B2" w:rsidP="00F849BB">
      <w:pPr>
        <w:jc w:val="both"/>
        <w:rPr>
          <w:lang w:val="en-CA"/>
        </w:rPr>
      </w:pPr>
    </w:p>
    <w:p w:rsidR="008430B2" w:rsidRDefault="008430B2">
      <w:pPr>
        <w:rPr>
          <w:b/>
          <w:lang w:val="en-CA"/>
        </w:rPr>
      </w:pPr>
      <w:r>
        <w:rPr>
          <w:b/>
          <w:lang w:val="en-CA"/>
        </w:rPr>
        <w:br w:type="page"/>
      </w:r>
    </w:p>
    <w:p w:rsidR="008430B2" w:rsidRPr="008430B2" w:rsidRDefault="008430B2" w:rsidP="008430B2">
      <w:pPr>
        <w:spacing w:after="0"/>
        <w:jc w:val="center"/>
        <w:rPr>
          <w:b/>
          <w:lang w:val="en-CA"/>
        </w:rPr>
      </w:pPr>
      <w:r w:rsidRPr="008430B2">
        <w:rPr>
          <w:b/>
          <w:lang w:val="en-CA"/>
        </w:rPr>
        <w:lastRenderedPageBreak/>
        <w:t>Feeling Alright Vitamin Limited</w:t>
      </w:r>
    </w:p>
    <w:p w:rsidR="008430B2" w:rsidRPr="008430B2" w:rsidRDefault="008430B2" w:rsidP="008430B2">
      <w:pPr>
        <w:spacing w:after="0"/>
        <w:jc w:val="center"/>
        <w:rPr>
          <w:b/>
          <w:lang w:val="en-CA"/>
        </w:rPr>
      </w:pPr>
      <w:r w:rsidRPr="008430B2">
        <w:rPr>
          <w:b/>
          <w:lang w:val="en-CA"/>
        </w:rPr>
        <w:t>Statement of Changes in Equity</w:t>
      </w:r>
    </w:p>
    <w:p w:rsidR="008430B2" w:rsidRDefault="008430B2" w:rsidP="008430B2">
      <w:pPr>
        <w:spacing w:after="0"/>
        <w:jc w:val="center"/>
        <w:rPr>
          <w:b/>
          <w:lang w:val="en-CA"/>
        </w:rPr>
      </w:pPr>
      <w:r w:rsidRPr="008430B2">
        <w:rPr>
          <w:b/>
          <w:lang w:val="en-CA"/>
        </w:rPr>
        <w:t>For the year ended December 31, 2014</w:t>
      </w:r>
    </w:p>
    <w:p w:rsidR="008430B2" w:rsidRDefault="008430B2" w:rsidP="008430B2">
      <w:pPr>
        <w:spacing w:after="0"/>
        <w:jc w:val="center"/>
        <w:rPr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851"/>
        <w:gridCol w:w="1134"/>
        <w:gridCol w:w="1134"/>
        <w:gridCol w:w="1134"/>
        <w:gridCol w:w="1252"/>
        <w:gridCol w:w="1016"/>
        <w:gridCol w:w="1133"/>
      </w:tblGrid>
      <w:tr w:rsidR="008430B2" w:rsidTr="008430B2">
        <w:tc>
          <w:tcPr>
            <w:tcW w:w="1696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</w:p>
        </w:tc>
        <w:tc>
          <w:tcPr>
            <w:tcW w:w="851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Total</w:t>
            </w:r>
          </w:p>
        </w:tc>
        <w:tc>
          <w:tcPr>
            <w:tcW w:w="1134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Compreh</w:t>
            </w:r>
            <w:proofErr w:type="spellEnd"/>
            <w:r>
              <w:rPr>
                <w:lang w:val="en-CA"/>
              </w:rPr>
              <w:t xml:space="preserve"> Income</w:t>
            </w:r>
          </w:p>
        </w:tc>
        <w:tc>
          <w:tcPr>
            <w:tcW w:w="1134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Common shares</w:t>
            </w:r>
          </w:p>
        </w:tc>
        <w:tc>
          <w:tcPr>
            <w:tcW w:w="1134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Preferred shares</w:t>
            </w:r>
          </w:p>
        </w:tc>
        <w:tc>
          <w:tcPr>
            <w:tcW w:w="1252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Contrib</w:t>
            </w:r>
            <w:proofErr w:type="spellEnd"/>
          </w:p>
          <w:p w:rsidR="008430B2" w:rsidRDefault="008430B2" w:rsidP="008430B2">
            <w:pPr>
              <w:jc w:val="center"/>
              <w:rPr>
                <w:lang w:val="en-CA"/>
              </w:rPr>
            </w:pPr>
            <w:proofErr w:type="gramStart"/>
            <w:r>
              <w:rPr>
                <w:lang w:val="en-CA"/>
              </w:rPr>
              <w:t>surplus</w:t>
            </w:r>
            <w:proofErr w:type="gramEnd"/>
          </w:p>
        </w:tc>
        <w:tc>
          <w:tcPr>
            <w:tcW w:w="1016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Retained earnings</w:t>
            </w:r>
          </w:p>
        </w:tc>
        <w:tc>
          <w:tcPr>
            <w:tcW w:w="1133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Acc. </w:t>
            </w:r>
            <w:proofErr w:type="spellStart"/>
            <w:r>
              <w:rPr>
                <w:lang w:val="en-CA"/>
              </w:rPr>
              <w:t>compreh</w:t>
            </w:r>
            <w:proofErr w:type="spellEnd"/>
            <w:r>
              <w:rPr>
                <w:lang w:val="en-CA"/>
              </w:rPr>
              <w:t xml:space="preserve"> income</w:t>
            </w:r>
          </w:p>
        </w:tc>
      </w:tr>
      <w:tr w:rsidR="008430B2" w:rsidTr="008430B2">
        <w:tc>
          <w:tcPr>
            <w:tcW w:w="1696" w:type="dxa"/>
          </w:tcPr>
          <w:p w:rsidR="008430B2" w:rsidRDefault="008430B2" w:rsidP="008430B2">
            <w:pPr>
              <w:rPr>
                <w:lang w:val="en-CA"/>
              </w:rPr>
            </w:pPr>
            <w:r>
              <w:rPr>
                <w:lang w:val="en-CA"/>
              </w:rPr>
              <w:t>Beginning balance</w:t>
            </w:r>
          </w:p>
        </w:tc>
        <w:tc>
          <w:tcPr>
            <w:tcW w:w="851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</w:p>
        </w:tc>
        <w:tc>
          <w:tcPr>
            <w:tcW w:w="1134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</w:p>
        </w:tc>
        <w:tc>
          <w:tcPr>
            <w:tcW w:w="1134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</w:p>
        </w:tc>
        <w:tc>
          <w:tcPr>
            <w:tcW w:w="1134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</w:p>
        </w:tc>
        <w:tc>
          <w:tcPr>
            <w:tcW w:w="1252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</w:p>
        </w:tc>
        <w:tc>
          <w:tcPr>
            <w:tcW w:w="1016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</w:p>
        </w:tc>
        <w:tc>
          <w:tcPr>
            <w:tcW w:w="1133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</w:p>
        </w:tc>
      </w:tr>
      <w:tr w:rsidR="008430B2" w:rsidTr="008430B2">
        <w:tc>
          <w:tcPr>
            <w:tcW w:w="1696" w:type="dxa"/>
          </w:tcPr>
          <w:p w:rsidR="008430B2" w:rsidRDefault="008430B2" w:rsidP="008430B2">
            <w:pPr>
              <w:rPr>
                <w:lang w:val="en-CA"/>
              </w:rPr>
            </w:pPr>
            <w:proofErr w:type="spellStart"/>
            <w:r>
              <w:rPr>
                <w:lang w:val="en-CA"/>
              </w:rPr>
              <w:t>Compreh</w:t>
            </w:r>
            <w:proofErr w:type="spellEnd"/>
            <w:r>
              <w:rPr>
                <w:lang w:val="en-CA"/>
              </w:rPr>
              <w:t xml:space="preserve"> income</w:t>
            </w:r>
          </w:p>
        </w:tc>
        <w:tc>
          <w:tcPr>
            <w:tcW w:w="851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</w:p>
        </w:tc>
        <w:tc>
          <w:tcPr>
            <w:tcW w:w="1134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</w:p>
        </w:tc>
        <w:tc>
          <w:tcPr>
            <w:tcW w:w="1134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</w:p>
        </w:tc>
        <w:tc>
          <w:tcPr>
            <w:tcW w:w="1134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</w:p>
        </w:tc>
        <w:tc>
          <w:tcPr>
            <w:tcW w:w="1252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</w:p>
        </w:tc>
        <w:tc>
          <w:tcPr>
            <w:tcW w:w="1016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</w:p>
        </w:tc>
        <w:tc>
          <w:tcPr>
            <w:tcW w:w="1133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</w:p>
        </w:tc>
      </w:tr>
      <w:tr w:rsidR="008430B2" w:rsidTr="008430B2">
        <w:tc>
          <w:tcPr>
            <w:tcW w:w="1696" w:type="dxa"/>
          </w:tcPr>
          <w:p w:rsidR="008430B2" w:rsidRDefault="008430B2" w:rsidP="008430B2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Net income</w:t>
            </w:r>
          </w:p>
        </w:tc>
        <w:tc>
          <w:tcPr>
            <w:tcW w:w="851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</w:p>
        </w:tc>
        <w:tc>
          <w:tcPr>
            <w:tcW w:w="1134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</w:p>
        </w:tc>
        <w:tc>
          <w:tcPr>
            <w:tcW w:w="1134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</w:p>
        </w:tc>
        <w:tc>
          <w:tcPr>
            <w:tcW w:w="1134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</w:p>
        </w:tc>
        <w:tc>
          <w:tcPr>
            <w:tcW w:w="1252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</w:p>
        </w:tc>
        <w:tc>
          <w:tcPr>
            <w:tcW w:w="1016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</w:p>
        </w:tc>
        <w:tc>
          <w:tcPr>
            <w:tcW w:w="1133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</w:p>
        </w:tc>
      </w:tr>
      <w:tr w:rsidR="008430B2" w:rsidTr="008430B2">
        <w:tc>
          <w:tcPr>
            <w:tcW w:w="1696" w:type="dxa"/>
          </w:tcPr>
          <w:p w:rsidR="008430B2" w:rsidRDefault="008430B2" w:rsidP="008430B2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OCI</w:t>
            </w:r>
          </w:p>
        </w:tc>
        <w:tc>
          <w:tcPr>
            <w:tcW w:w="851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</w:p>
        </w:tc>
        <w:tc>
          <w:tcPr>
            <w:tcW w:w="1134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</w:p>
        </w:tc>
        <w:tc>
          <w:tcPr>
            <w:tcW w:w="1134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</w:p>
        </w:tc>
        <w:tc>
          <w:tcPr>
            <w:tcW w:w="1134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</w:p>
        </w:tc>
        <w:tc>
          <w:tcPr>
            <w:tcW w:w="1252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</w:p>
        </w:tc>
        <w:tc>
          <w:tcPr>
            <w:tcW w:w="1016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</w:p>
        </w:tc>
        <w:tc>
          <w:tcPr>
            <w:tcW w:w="1133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</w:p>
        </w:tc>
      </w:tr>
      <w:tr w:rsidR="008430B2" w:rsidTr="008430B2">
        <w:tc>
          <w:tcPr>
            <w:tcW w:w="1696" w:type="dxa"/>
          </w:tcPr>
          <w:p w:rsidR="008430B2" w:rsidRDefault="008430B2" w:rsidP="008430B2">
            <w:pPr>
              <w:rPr>
                <w:lang w:val="en-CA"/>
              </w:rPr>
            </w:pPr>
            <w:r>
              <w:rPr>
                <w:lang w:val="en-CA"/>
              </w:rPr>
              <w:t>TCI</w:t>
            </w:r>
          </w:p>
        </w:tc>
        <w:tc>
          <w:tcPr>
            <w:tcW w:w="851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</w:p>
        </w:tc>
        <w:tc>
          <w:tcPr>
            <w:tcW w:w="1134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</w:p>
        </w:tc>
        <w:tc>
          <w:tcPr>
            <w:tcW w:w="1134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</w:p>
        </w:tc>
        <w:tc>
          <w:tcPr>
            <w:tcW w:w="1134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</w:p>
        </w:tc>
        <w:tc>
          <w:tcPr>
            <w:tcW w:w="1252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</w:p>
        </w:tc>
        <w:tc>
          <w:tcPr>
            <w:tcW w:w="1016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</w:p>
        </w:tc>
        <w:tc>
          <w:tcPr>
            <w:tcW w:w="1133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</w:p>
        </w:tc>
      </w:tr>
      <w:tr w:rsidR="008430B2" w:rsidTr="008430B2">
        <w:tc>
          <w:tcPr>
            <w:tcW w:w="1696" w:type="dxa"/>
          </w:tcPr>
          <w:p w:rsidR="008430B2" w:rsidRDefault="008430B2" w:rsidP="008430B2">
            <w:pPr>
              <w:rPr>
                <w:lang w:val="en-CA"/>
              </w:rPr>
            </w:pPr>
            <w:r>
              <w:rPr>
                <w:lang w:val="en-CA"/>
              </w:rPr>
              <w:t>Dividends</w:t>
            </w:r>
          </w:p>
        </w:tc>
        <w:tc>
          <w:tcPr>
            <w:tcW w:w="851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</w:p>
        </w:tc>
        <w:tc>
          <w:tcPr>
            <w:tcW w:w="1134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</w:p>
        </w:tc>
        <w:tc>
          <w:tcPr>
            <w:tcW w:w="1134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</w:p>
        </w:tc>
        <w:tc>
          <w:tcPr>
            <w:tcW w:w="1134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</w:p>
        </w:tc>
        <w:tc>
          <w:tcPr>
            <w:tcW w:w="1252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</w:p>
        </w:tc>
        <w:tc>
          <w:tcPr>
            <w:tcW w:w="1016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</w:p>
        </w:tc>
        <w:tc>
          <w:tcPr>
            <w:tcW w:w="1133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</w:p>
        </w:tc>
      </w:tr>
      <w:tr w:rsidR="008430B2" w:rsidTr="008430B2">
        <w:tc>
          <w:tcPr>
            <w:tcW w:w="1696" w:type="dxa"/>
          </w:tcPr>
          <w:p w:rsidR="008430B2" w:rsidRDefault="008430B2" w:rsidP="008430B2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 xml:space="preserve">Common </w:t>
            </w:r>
          </w:p>
        </w:tc>
        <w:tc>
          <w:tcPr>
            <w:tcW w:w="851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</w:p>
        </w:tc>
        <w:tc>
          <w:tcPr>
            <w:tcW w:w="1134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</w:p>
        </w:tc>
        <w:tc>
          <w:tcPr>
            <w:tcW w:w="1134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</w:p>
        </w:tc>
        <w:tc>
          <w:tcPr>
            <w:tcW w:w="1134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</w:p>
        </w:tc>
        <w:tc>
          <w:tcPr>
            <w:tcW w:w="1252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</w:p>
        </w:tc>
        <w:tc>
          <w:tcPr>
            <w:tcW w:w="1016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</w:p>
        </w:tc>
        <w:tc>
          <w:tcPr>
            <w:tcW w:w="1133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</w:p>
        </w:tc>
      </w:tr>
      <w:tr w:rsidR="008430B2" w:rsidTr="008430B2">
        <w:tc>
          <w:tcPr>
            <w:tcW w:w="1696" w:type="dxa"/>
          </w:tcPr>
          <w:p w:rsidR="008430B2" w:rsidRDefault="008430B2" w:rsidP="008430B2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Preferred</w:t>
            </w:r>
          </w:p>
        </w:tc>
        <w:tc>
          <w:tcPr>
            <w:tcW w:w="851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</w:p>
        </w:tc>
        <w:tc>
          <w:tcPr>
            <w:tcW w:w="1134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</w:p>
        </w:tc>
        <w:tc>
          <w:tcPr>
            <w:tcW w:w="1134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</w:p>
        </w:tc>
        <w:tc>
          <w:tcPr>
            <w:tcW w:w="1134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</w:p>
        </w:tc>
        <w:tc>
          <w:tcPr>
            <w:tcW w:w="1252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</w:p>
        </w:tc>
        <w:tc>
          <w:tcPr>
            <w:tcW w:w="1016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</w:p>
        </w:tc>
        <w:tc>
          <w:tcPr>
            <w:tcW w:w="1133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</w:p>
        </w:tc>
      </w:tr>
      <w:tr w:rsidR="008430B2" w:rsidTr="008430B2">
        <w:tc>
          <w:tcPr>
            <w:tcW w:w="1696" w:type="dxa"/>
          </w:tcPr>
          <w:p w:rsidR="008430B2" w:rsidRDefault="008430B2" w:rsidP="008430B2">
            <w:pPr>
              <w:rPr>
                <w:lang w:val="en-CA"/>
              </w:rPr>
            </w:pPr>
            <w:r>
              <w:rPr>
                <w:lang w:val="en-CA"/>
              </w:rPr>
              <w:t>Equity issued</w:t>
            </w:r>
          </w:p>
        </w:tc>
        <w:tc>
          <w:tcPr>
            <w:tcW w:w="851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</w:p>
        </w:tc>
        <w:tc>
          <w:tcPr>
            <w:tcW w:w="1134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</w:p>
        </w:tc>
        <w:tc>
          <w:tcPr>
            <w:tcW w:w="1134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</w:p>
        </w:tc>
        <w:tc>
          <w:tcPr>
            <w:tcW w:w="1134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</w:p>
        </w:tc>
        <w:tc>
          <w:tcPr>
            <w:tcW w:w="1252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</w:p>
        </w:tc>
        <w:tc>
          <w:tcPr>
            <w:tcW w:w="1016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</w:p>
        </w:tc>
        <w:tc>
          <w:tcPr>
            <w:tcW w:w="1133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</w:p>
        </w:tc>
      </w:tr>
      <w:tr w:rsidR="008430B2" w:rsidTr="008430B2">
        <w:tc>
          <w:tcPr>
            <w:tcW w:w="1696" w:type="dxa"/>
          </w:tcPr>
          <w:p w:rsidR="008430B2" w:rsidRDefault="008430B2" w:rsidP="008430B2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Common</w:t>
            </w:r>
          </w:p>
        </w:tc>
        <w:tc>
          <w:tcPr>
            <w:tcW w:w="851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</w:p>
        </w:tc>
        <w:tc>
          <w:tcPr>
            <w:tcW w:w="1134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</w:p>
        </w:tc>
        <w:tc>
          <w:tcPr>
            <w:tcW w:w="1134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</w:p>
        </w:tc>
        <w:tc>
          <w:tcPr>
            <w:tcW w:w="1134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</w:p>
        </w:tc>
        <w:tc>
          <w:tcPr>
            <w:tcW w:w="1252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</w:p>
        </w:tc>
        <w:tc>
          <w:tcPr>
            <w:tcW w:w="1016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</w:p>
        </w:tc>
        <w:tc>
          <w:tcPr>
            <w:tcW w:w="1133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</w:p>
        </w:tc>
      </w:tr>
      <w:tr w:rsidR="008430B2" w:rsidTr="008430B2">
        <w:tc>
          <w:tcPr>
            <w:tcW w:w="1696" w:type="dxa"/>
          </w:tcPr>
          <w:p w:rsidR="008430B2" w:rsidRDefault="008430B2" w:rsidP="008430B2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Preferred</w:t>
            </w:r>
          </w:p>
        </w:tc>
        <w:tc>
          <w:tcPr>
            <w:tcW w:w="851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</w:p>
        </w:tc>
        <w:tc>
          <w:tcPr>
            <w:tcW w:w="1134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</w:p>
        </w:tc>
        <w:tc>
          <w:tcPr>
            <w:tcW w:w="1134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</w:p>
        </w:tc>
        <w:tc>
          <w:tcPr>
            <w:tcW w:w="1134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</w:p>
        </w:tc>
        <w:tc>
          <w:tcPr>
            <w:tcW w:w="1252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</w:p>
        </w:tc>
        <w:tc>
          <w:tcPr>
            <w:tcW w:w="1016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</w:p>
        </w:tc>
        <w:tc>
          <w:tcPr>
            <w:tcW w:w="1133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</w:p>
        </w:tc>
      </w:tr>
      <w:tr w:rsidR="008430B2" w:rsidTr="008430B2">
        <w:tc>
          <w:tcPr>
            <w:tcW w:w="1696" w:type="dxa"/>
          </w:tcPr>
          <w:p w:rsidR="008430B2" w:rsidRDefault="008430B2" w:rsidP="008430B2">
            <w:pPr>
              <w:rPr>
                <w:lang w:val="en-CA"/>
              </w:rPr>
            </w:pPr>
            <w:r>
              <w:rPr>
                <w:lang w:val="en-CA"/>
              </w:rPr>
              <w:t>Adjustment to correct prior error</w:t>
            </w:r>
          </w:p>
        </w:tc>
        <w:tc>
          <w:tcPr>
            <w:tcW w:w="851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</w:p>
        </w:tc>
        <w:tc>
          <w:tcPr>
            <w:tcW w:w="1134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</w:p>
        </w:tc>
        <w:tc>
          <w:tcPr>
            <w:tcW w:w="1134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</w:p>
        </w:tc>
        <w:tc>
          <w:tcPr>
            <w:tcW w:w="1134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</w:p>
        </w:tc>
        <w:tc>
          <w:tcPr>
            <w:tcW w:w="1252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</w:p>
        </w:tc>
        <w:tc>
          <w:tcPr>
            <w:tcW w:w="1016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</w:p>
        </w:tc>
        <w:tc>
          <w:tcPr>
            <w:tcW w:w="1133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</w:p>
        </w:tc>
      </w:tr>
      <w:tr w:rsidR="008430B2" w:rsidTr="008430B2">
        <w:tc>
          <w:tcPr>
            <w:tcW w:w="1696" w:type="dxa"/>
          </w:tcPr>
          <w:p w:rsidR="008430B2" w:rsidRDefault="008430B2" w:rsidP="008430B2">
            <w:pPr>
              <w:rPr>
                <w:lang w:val="en-CA"/>
              </w:rPr>
            </w:pPr>
            <w:r>
              <w:rPr>
                <w:lang w:val="en-CA"/>
              </w:rPr>
              <w:t>Ending balance</w:t>
            </w:r>
          </w:p>
        </w:tc>
        <w:tc>
          <w:tcPr>
            <w:tcW w:w="851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</w:p>
        </w:tc>
        <w:tc>
          <w:tcPr>
            <w:tcW w:w="1134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</w:p>
        </w:tc>
        <w:tc>
          <w:tcPr>
            <w:tcW w:w="1134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</w:p>
        </w:tc>
        <w:tc>
          <w:tcPr>
            <w:tcW w:w="1134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</w:p>
        </w:tc>
        <w:tc>
          <w:tcPr>
            <w:tcW w:w="1252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</w:p>
        </w:tc>
        <w:tc>
          <w:tcPr>
            <w:tcW w:w="1016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</w:p>
        </w:tc>
        <w:tc>
          <w:tcPr>
            <w:tcW w:w="1133" w:type="dxa"/>
          </w:tcPr>
          <w:p w:rsidR="008430B2" w:rsidRDefault="008430B2" w:rsidP="008430B2">
            <w:pPr>
              <w:jc w:val="center"/>
              <w:rPr>
                <w:lang w:val="en-CA"/>
              </w:rPr>
            </w:pPr>
          </w:p>
        </w:tc>
      </w:tr>
    </w:tbl>
    <w:p w:rsidR="0044279B" w:rsidRPr="00882689" w:rsidRDefault="0044279B" w:rsidP="005F07F5">
      <w:pPr>
        <w:spacing w:after="0"/>
        <w:rPr>
          <w:lang w:val="en-CA"/>
        </w:rPr>
      </w:pPr>
    </w:p>
    <w:sectPr w:rsidR="0044279B" w:rsidRPr="00882689">
      <w:headerReference w:type="default" r:id="rId10"/>
      <w:footerReference w:type="defaul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5DD0" w:rsidRDefault="00F55DD0" w:rsidP="00E947E7">
      <w:pPr>
        <w:spacing w:after="0" w:line="240" w:lineRule="auto"/>
      </w:pPr>
      <w:r>
        <w:separator/>
      </w:r>
    </w:p>
  </w:endnote>
  <w:endnote w:type="continuationSeparator" w:id="0">
    <w:p w:rsidR="00F55DD0" w:rsidRDefault="00F55DD0" w:rsidP="00E94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39977285"/>
      <w:docPartObj>
        <w:docPartGallery w:val="Page Numbers (Bottom of Page)"/>
        <w:docPartUnique/>
      </w:docPartObj>
    </w:sdtPr>
    <w:sdtEndPr>
      <w:rPr>
        <w:noProof/>
        <w:sz w:val="20"/>
      </w:rPr>
    </w:sdtEndPr>
    <w:sdtContent>
      <w:p w:rsidR="001E4D3E" w:rsidRPr="001E4D3E" w:rsidRDefault="001E4D3E">
        <w:pPr>
          <w:pStyle w:val="Footer"/>
          <w:jc w:val="center"/>
          <w:rPr>
            <w:sz w:val="20"/>
          </w:rPr>
        </w:pPr>
        <w:r w:rsidRPr="001E4D3E">
          <w:rPr>
            <w:sz w:val="20"/>
          </w:rPr>
          <w:fldChar w:fldCharType="begin"/>
        </w:r>
        <w:r w:rsidRPr="001E4D3E">
          <w:rPr>
            <w:sz w:val="20"/>
          </w:rPr>
          <w:instrText xml:space="preserve"> PAGE   \* MERGEFORMAT </w:instrText>
        </w:r>
        <w:r w:rsidRPr="001E4D3E">
          <w:rPr>
            <w:sz w:val="20"/>
          </w:rPr>
          <w:fldChar w:fldCharType="separate"/>
        </w:r>
        <w:r w:rsidR="0091496F">
          <w:rPr>
            <w:noProof/>
            <w:sz w:val="20"/>
          </w:rPr>
          <w:t>1</w:t>
        </w:r>
        <w:r w:rsidRPr="001E4D3E">
          <w:rPr>
            <w:noProof/>
            <w:sz w:val="20"/>
          </w:rPr>
          <w:fldChar w:fldCharType="end"/>
        </w:r>
      </w:p>
    </w:sdtContent>
  </w:sdt>
  <w:p w:rsidR="001E4D3E" w:rsidRDefault="001E4D3E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5DD0" w:rsidRDefault="00F55DD0" w:rsidP="00E947E7">
      <w:pPr>
        <w:spacing w:after="0" w:line="240" w:lineRule="auto"/>
      </w:pPr>
      <w:r>
        <w:separator/>
      </w:r>
    </w:p>
  </w:footnote>
  <w:footnote w:type="continuationSeparator" w:id="0">
    <w:p w:rsidR="00F55DD0" w:rsidRDefault="00F55DD0" w:rsidP="00E94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47E7" w:rsidRDefault="00E947E7" w:rsidP="00E947E7">
    <w:pPr>
      <w:pStyle w:val="Header"/>
      <w:jc w:val="right"/>
      <w:rPr>
        <w:lang w:val="en-CA"/>
      </w:rPr>
    </w:pPr>
    <w:r>
      <w:rPr>
        <w:lang w:val="en-CA"/>
      </w:rPr>
      <w:t>ACCO 310 Financial Reporting I</w:t>
    </w:r>
  </w:p>
  <w:p w:rsidR="00E947E7" w:rsidRPr="00E947E7" w:rsidRDefault="009A44CD" w:rsidP="00E947E7">
    <w:pPr>
      <w:pStyle w:val="Header"/>
      <w:jc w:val="right"/>
      <w:rPr>
        <w:lang w:val="en-CA"/>
      </w:rPr>
    </w:pPr>
    <w:r>
      <w:rPr>
        <w:lang w:val="en-CA"/>
      </w:rPr>
      <w:t>Section D</w:t>
    </w:r>
    <w:r w:rsidR="005F07F5">
      <w:rPr>
        <w:lang w:val="en-CA"/>
      </w:rPr>
      <w:t xml:space="preserve">, </w:t>
    </w:r>
    <w:proofErr w:type="spellStart"/>
    <w:r w:rsidR="00E947E7">
      <w:rPr>
        <w:lang w:val="en-CA"/>
      </w:rPr>
      <w:t>Rucsandra</w:t>
    </w:r>
    <w:proofErr w:type="spellEnd"/>
    <w:r w:rsidR="00E947E7">
      <w:rPr>
        <w:lang w:val="en-CA"/>
      </w:rPr>
      <w:t xml:space="preserve"> Moldovan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215BB3"/>
    <w:multiLevelType w:val="hybridMultilevel"/>
    <w:tmpl w:val="032E7D30"/>
    <w:lvl w:ilvl="0" w:tplc="B8809C62">
      <w:start w:val="4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385"/>
    <w:rsid w:val="000225C8"/>
    <w:rsid w:val="001E4D3E"/>
    <w:rsid w:val="002355FA"/>
    <w:rsid w:val="0043226A"/>
    <w:rsid w:val="0044279B"/>
    <w:rsid w:val="005F07F5"/>
    <w:rsid w:val="007423FA"/>
    <w:rsid w:val="008430B2"/>
    <w:rsid w:val="00870463"/>
    <w:rsid w:val="00882689"/>
    <w:rsid w:val="00913875"/>
    <w:rsid w:val="0091496F"/>
    <w:rsid w:val="009A44CD"/>
    <w:rsid w:val="00A74385"/>
    <w:rsid w:val="00A83AEC"/>
    <w:rsid w:val="00AC6750"/>
    <w:rsid w:val="00E451EC"/>
    <w:rsid w:val="00E947E7"/>
    <w:rsid w:val="00F55DD0"/>
    <w:rsid w:val="00F84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47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47E7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E947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47E7"/>
    <w:rPr>
      <w:lang w:val="en-US"/>
    </w:rPr>
  </w:style>
  <w:style w:type="paragraph" w:styleId="ListParagraph">
    <w:name w:val="List Paragraph"/>
    <w:basedOn w:val="Normal"/>
    <w:uiPriority w:val="34"/>
    <w:qFormat/>
    <w:rsid w:val="007423FA"/>
    <w:pPr>
      <w:ind w:left="720"/>
      <w:contextualSpacing/>
    </w:pPr>
  </w:style>
  <w:style w:type="table" w:styleId="TableGrid">
    <w:name w:val="Table Grid"/>
    <w:basedOn w:val="TableNormal"/>
    <w:uiPriority w:val="39"/>
    <w:rsid w:val="00AC6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47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47E7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E947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47E7"/>
    <w:rPr>
      <w:lang w:val="en-US"/>
    </w:rPr>
  </w:style>
  <w:style w:type="paragraph" w:styleId="ListParagraph">
    <w:name w:val="List Paragraph"/>
    <w:basedOn w:val="Normal"/>
    <w:uiPriority w:val="34"/>
    <w:qFormat/>
    <w:rsid w:val="007423FA"/>
    <w:pPr>
      <w:ind w:left="720"/>
      <w:contextualSpacing/>
    </w:pPr>
  </w:style>
  <w:style w:type="table" w:styleId="TableGrid">
    <w:name w:val="Table Grid"/>
    <w:basedOn w:val="TableNormal"/>
    <w:uiPriority w:val="39"/>
    <w:rsid w:val="00AC6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emf"/><Relationship Id="rId9" Type="http://schemas.openxmlformats.org/officeDocument/2006/relationships/image" Target="media/image2.png"/><Relationship Id="rId1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369</Words>
  <Characters>2108</Characters>
  <Application>Microsoft Macintosh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Rucsandra Moldovan</dc:creator>
  <cp:keywords/>
  <dc:description/>
  <cp:lastModifiedBy>Cyrille Mae Ancanan</cp:lastModifiedBy>
  <cp:revision>2</cp:revision>
  <dcterms:created xsi:type="dcterms:W3CDTF">2015-09-15T03:56:00Z</dcterms:created>
  <dcterms:modified xsi:type="dcterms:W3CDTF">2015-09-15T03:56:00Z</dcterms:modified>
</cp:coreProperties>
</file>